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24" w:rsidRPr="001852C6" w:rsidRDefault="00494524" w:rsidP="0049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C6">
        <w:rPr>
          <w:rFonts w:ascii="Times New Roman" w:hAnsi="Times New Roman" w:cs="Times New Roman"/>
          <w:b/>
          <w:sz w:val="24"/>
          <w:szCs w:val="24"/>
        </w:rPr>
        <w:t xml:space="preserve">Работа среде табличного процессора </w:t>
      </w:r>
      <w:r w:rsidRPr="001852C6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185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2C6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1852C6">
        <w:rPr>
          <w:rFonts w:ascii="Times New Roman" w:hAnsi="Times New Roman" w:cs="Times New Roman"/>
          <w:b/>
          <w:sz w:val="24"/>
          <w:szCs w:val="24"/>
        </w:rPr>
        <w:t>.</w:t>
      </w:r>
    </w:p>
    <w:p w:rsidR="00494524" w:rsidRPr="00EE6B3D" w:rsidRDefault="00EE6B3D" w:rsidP="0049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Статистическая и графическая обработка данных</w:t>
      </w:r>
      <w:r w:rsidR="00494524" w:rsidRPr="001852C6">
        <w:rPr>
          <w:rFonts w:ascii="Times New Roman" w:hAnsi="Times New Roman" w:cs="Times New Roman"/>
          <w:b/>
          <w:sz w:val="24"/>
          <w:szCs w:val="24"/>
        </w:rPr>
        <w:t>.</w:t>
      </w:r>
    </w:p>
    <w:p w:rsidR="00632189" w:rsidRPr="00632189" w:rsidRDefault="00EE6B3D" w:rsidP="006321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B3D">
        <w:rPr>
          <w:rFonts w:ascii="Times New Roman" w:hAnsi="Times New Roman" w:cs="Times New Roman"/>
          <w:sz w:val="24"/>
          <w:szCs w:val="24"/>
        </w:rPr>
        <w:t>Программа содержит более 150 встроенных функций для обработки данных. Для удобства поиска все функции разбиты на категории, внутри каждой категории они отсортированы в алфавитном порядке. Кроме этого есть две категории – “10 недавно использовавшихся” и “Полный алфавитный перечень”, в котором все встроенные функции располагаются в алфавитном порядке.</w:t>
      </w:r>
    </w:p>
    <w:p w:rsidR="00EE6B3D" w:rsidRPr="00EE6B3D" w:rsidRDefault="00EE6B3D" w:rsidP="006321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B3D">
        <w:rPr>
          <w:rFonts w:ascii="Times New Roman" w:hAnsi="Times New Roman" w:cs="Times New Roman"/>
          <w:sz w:val="24"/>
          <w:szCs w:val="24"/>
        </w:rPr>
        <w:t>Для вставки функции в формулу можно воспользоваться мастером функций, при этом функции могут быть вложенными друг в друга, но не более 8 раз. Главными задачами при использовании функции являются определение самой функции и аргумента. Как правило, аргументом являются адреса ячеек. Если необходимо указать диапазон ячеек, то первый и последний адреса разделяются двоеточием, например А12:С20.</w:t>
      </w:r>
    </w:p>
    <w:p w:rsidR="00EE6B3D" w:rsidRPr="00632189" w:rsidRDefault="00EE6B3D" w:rsidP="006321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189">
        <w:rPr>
          <w:rFonts w:ascii="Times New Roman" w:hAnsi="Times New Roman" w:cs="Times New Roman"/>
          <w:i/>
          <w:sz w:val="24"/>
          <w:szCs w:val="24"/>
        </w:rPr>
        <w:t>Порядок работы с функциями</w:t>
      </w:r>
    </w:p>
    <w:p w:rsidR="00EE6B3D" w:rsidRPr="00632189" w:rsidRDefault="00EE6B3D" w:rsidP="0063218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189">
        <w:rPr>
          <w:rFonts w:ascii="Times New Roman" w:hAnsi="Times New Roman" w:cs="Times New Roman"/>
          <w:sz w:val="24"/>
          <w:szCs w:val="24"/>
        </w:rPr>
        <w:t>Сделаем активной яче</w:t>
      </w:r>
      <w:r w:rsidR="00632189">
        <w:rPr>
          <w:rFonts w:ascii="Times New Roman" w:hAnsi="Times New Roman" w:cs="Times New Roman"/>
          <w:sz w:val="24"/>
          <w:szCs w:val="24"/>
        </w:rPr>
        <w:t>й</w:t>
      </w:r>
      <w:r w:rsidRPr="00632189">
        <w:rPr>
          <w:rFonts w:ascii="Times New Roman" w:hAnsi="Times New Roman" w:cs="Times New Roman"/>
          <w:sz w:val="24"/>
          <w:szCs w:val="24"/>
        </w:rPr>
        <w:t>ку, в которую хотим поместить результат.</w:t>
      </w:r>
    </w:p>
    <w:p w:rsidR="00EE6B3D" w:rsidRPr="00632189" w:rsidRDefault="00EE6B3D" w:rsidP="0063218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189">
        <w:rPr>
          <w:rFonts w:ascii="Times New Roman" w:hAnsi="Times New Roman" w:cs="Times New Roman"/>
          <w:sz w:val="24"/>
          <w:szCs w:val="24"/>
        </w:rPr>
        <w:t xml:space="preserve">Выбираем команду </w:t>
      </w:r>
      <w:r w:rsidR="00632189" w:rsidRPr="00632189">
        <w:rPr>
          <w:rFonts w:ascii="Times New Roman" w:hAnsi="Times New Roman" w:cs="Times New Roman"/>
          <w:sz w:val="24"/>
          <w:szCs w:val="24"/>
        </w:rPr>
        <w:t>Формулы</w:t>
      </w:r>
      <w:r w:rsidRPr="00632189">
        <w:rPr>
          <w:rFonts w:ascii="Times New Roman" w:hAnsi="Times New Roman" w:cs="Times New Roman"/>
          <w:sz w:val="24"/>
          <w:szCs w:val="24"/>
        </w:rPr>
        <w:t xml:space="preserve"> – </w:t>
      </w:r>
      <w:r w:rsidR="00632189" w:rsidRPr="00632189">
        <w:rPr>
          <w:rFonts w:ascii="Times New Roman" w:hAnsi="Times New Roman" w:cs="Times New Roman"/>
          <w:sz w:val="24"/>
          <w:szCs w:val="24"/>
        </w:rPr>
        <w:t>Вставить ф</w:t>
      </w:r>
      <w:r w:rsidRPr="00632189">
        <w:rPr>
          <w:rFonts w:ascii="Times New Roman" w:hAnsi="Times New Roman" w:cs="Times New Roman"/>
          <w:sz w:val="24"/>
          <w:szCs w:val="24"/>
        </w:rPr>
        <w:t>ункци</w:t>
      </w:r>
      <w:r w:rsidR="00632189" w:rsidRPr="00632189">
        <w:rPr>
          <w:rFonts w:ascii="Times New Roman" w:hAnsi="Times New Roman" w:cs="Times New Roman"/>
          <w:sz w:val="24"/>
          <w:szCs w:val="24"/>
        </w:rPr>
        <w:t>ю</w:t>
      </w:r>
      <w:r w:rsidRPr="00632189">
        <w:rPr>
          <w:rFonts w:ascii="Times New Roman" w:hAnsi="Times New Roman" w:cs="Times New Roman"/>
          <w:sz w:val="24"/>
          <w:szCs w:val="24"/>
        </w:rPr>
        <w:t>.</w:t>
      </w:r>
    </w:p>
    <w:p w:rsidR="00EE6B3D" w:rsidRPr="00632189" w:rsidRDefault="00EE6B3D" w:rsidP="0063218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189">
        <w:rPr>
          <w:rFonts w:ascii="Times New Roman" w:hAnsi="Times New Roman" w:cs="Times New Roman"/>
          <w:sz w:val="24"/>
          <w:szCs w:val="24"/>
        </w:rPr>
        <w:t>В первом появившем</w:t>
      </w:r>
      <w:r w:rsidR="00632189">
        <w:rPr>
          <w:rFonts w:ascii="Times New Roman" w:hAnsi="Times New Roman" w:cs="Times New Roman"/>
          <w:sz w:val="24"/>
          <w:szCs w:val="24"/>
        </w:rPr>
        <w:t>с</w:t>
      </w:r>
      <w:r w:rsidRPr="00632189">
        <w:rPr>
          <w:rFonts w:ascii="Times New Roman" w:hAnsi="Times New Roman" w:cs="Times New Roman"/>
          <w:sz w:val="24"/>
          <w:szCs w:val="24"/>
        </w:rPr>
        <w:t>я окне Мастера функций определяем категорию и назв</w:t>
      </w:r>
      <w:r w:rsidR="00632189" w:rsidRPr="00632189">
        <w:rPr>
          <w:rFonts w:ascii="Times New Roman" w:hAnsi="Times New Roman" w:cs="Times New Roman"/>
          <w:sz w:val="24"/>
          <w:szCs w:val="24"/>
        </w:rPr>
        <w:t>ание конкретной функции</w:t>
      </w:r>
      <w:r w:rsidRPr="00632189">
        <w:rPr>
          <w:rFonts w:ascii="Times New Roman" w:hAnsi="Times New Roman" w:cs="Times New Roman"/>
          <w:sz w:val="24"/>
          <w:szCs w:val="24"/>
        </w:rPr>
        <w:t>.</w:t>
      </w:r>
    </w:p>
    <w:p w:rsidR="00632189" w:rsidRPr="00EE6B3D" w:rsidRDefault="00632189" w:rsidP="006321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3371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32" cy="337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3D" w:rsidRPr="00632189" w:rsidRDefault="00EE6B3D" w:rsidP="0063218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189">
        <w:rPr>
          <w:rFonts w:ascii="Times New Roman" w:hAnsi="Times New Roman" w:cs="Times New Roman"/>
          <w:sz w:val="24"/>
          <w:szCs w:val="24"/>
        </w:rPr>
        <w:t xml:space="preserve">Во втором окне необходимо определить аргументы для функции. Для этого щелчком кнопки справа от первого </w:t>
      </w:r>
      <w:r w:rsidR="00632189" w:rsidRPr="00632189">
        <w:rPr>
          <w:rFonts w:ascii="Times New Roman" w:hAnsi="Times New Roman" w:cs="Times New Roman"/>
          <w:sz w:val="24"/>
          <w:szCs w:val="24"/>
        </w:rPr>
        <w:t>диапазона</w:t>
      </w:r>
      <w:r w:rsidRPr="00632189">
        <w:rPr>
          <w:rFonts w:ascii="Times New Roman" w:hAnsi="Times New Roman" w:cs="Times New Roman"/>
          <w:sz w:val="24"/>
          <w:szCs w:val="24"/>
        </w:rPr>
        <w:t xml:space="preserve"> ячеек (</w:t>
      </w:r>
      <w:proofErr w:type="gramStart"/>
      <w:r w:rsidRPr="0063218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32189">
        <w:rPr>
          <w:rFonts w:ascii="Times New Roman" w:hAnsi="Times New Roman" w:cs="Times New Roman"/>
          <w:sz w:val="24"/>
          <w:szCs w:val="24"/>
        </w:rPr>
        <w:t>. рис. 7) закрываем окно, выделяем ячейки, на основе которых будет проводиться вычисление, и нажимаем клавишу &lt;</w:t>
      </w:r>
      <w:proofErr w:type="spellStart"/>
      <w:r w:rsidRPr="00632189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632189">
        <w:rPr>
          <w:rFonts w:ascii="Times New Roman" w:hAnsi="Times New Roman" w:cs="Times New Roman"/>
          <w:sz w:val="24"/>
          <w:szCs w:val="24"/>
        </w:rPr>
        <w:t>&gt;. Если аргументом является несколько диапазонов ячеек, то действие повторяем.</w:t>
      </w:r>
    </w:p>
    <w:p w:rsidR="00632189" w:rsidRPr="00EE6B3D" w:rsidRDefault="00632189" w:rsidP="006321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7700" cy="3343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8" cy="334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3D" w:rsidRPr="00632189" w:rsidRDefault="00EE6B3D" w:rsidP="0063218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189">
        <w:rPr>
          <w:rFonts w:ascii="Times New Roman" w:hAnsi="Times New Roman" w:cs="Times New Roman"/>
          <w:sz w:val="24"/>
          <w:szCs w:val="24"/>
        </w:rPr>
        <w:t>Затем для завершения работы нажимаем клавишу &lt;OK&gt;. В исходной ячейке окажется результат вычисления.</w:t>
      </w:r>
    </w:p>
    <w:p w:rsidR="00247210" w:rsidRPr="00F44CE9" w:rsidRDefault="00247210" w:rsidP="002472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4CE9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</w:p>
    <w:p w:rsidR="00F44CE9" w:rsidRDefault="00247210" w:rsidP="00273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7210">
        <w:rPr>
          <w:rFonts w:ascii="Times New Roman" w:hAnsi="Times New Roman" w:cs="Times New Roman"/>
          <w:sz w:val="24"/>
          <w:szCs w:val="24"/>
        </w:rPr>
        <w:t>Используя набор данных «Территория и население по континентам» (Приложение №1), составить таблицу и выяснить минимальную и максимальную плотность населения в 1970 году и в 1989 году, суммарную площадь всех континентов. Построить круговую диаграмму, отражающую население стран в 1989 году.</w:t>
      </w:r>
    </w:p>
    <w:p w:rsidR="00F44CE9" w:rsidRDefault="00247210" w:rsidP="0024721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CE9">
        <w:rPr>
          <w:rFonts w:ascii="Times New Roman" w:hAnsi="Times New Roman" w:cs="Times New Roman"/>
          <w:sz w:val="24"/>
          <w:szCs w:val="24"/>
        </w:rPr>
        <w:t xml:space="preserve">Создайте таблицу, состоящую из следующих столбцов: </w:t>
      </w:r>
      <w:proofErr w:type="gramStart"/>
      <w:r w:rsidRPr="00F44CE9">
        <w:rPr>
          <w:rFonts w:ascii="Times New Roman" w:hAnsi="Times New Roman" w:cs="Times New Roman"/>
          <w:sz w:val="24"/>
          <w:szCs w:val="24"/>
        </w:rPr>
        <w:t>Страна, Территория, млн.кв.км., Население в 1970 г., Население в 1989 г. Выбирая из текста значения</w:t>
      </w:r>
      <w:r w:rsidR="00F44CE9">
        <w:rPr>
          <w:rFonts w:ascii="Times New Roman" w:hAnsi="Times New Roman" w:cs="Times New Roman"/>
          <w:sz w:val="24"/>
          <w:szCs w:val="24"/>
        </w:rPr>
        <w:t>,</w:t>
      </w:r>
      <w:r w:rsidRPr="00F44CE9">
        <w:rPr>
          <w:rFonts w:ascii="Times New Roman" w:hAnsi="Times New Roman" w:cs="Times New Roman"/>
          <w:sz w:val="24"/>
          <w:szCs w:val="24"/>
        </w:rPr>
        <w:t xml:space="preserve"> заполните таблицу.</w:t>
      </w:r>
      <w:proofErr w:type="gramEnd"/>
    </w:p>
    <w:p w:rsidR="00F44CE9" w:rsidRDefault="00247210" w:rsidP="00F44CE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CE9">
        <w:rPr>
          <w:rFonts w:ascii="Times New Roman" w:hAnsi="Times New Roman" w:cs="Times New Roman"/>
          <w:sz w:val="24"/>
          <w:szCs w:val="24"/>
        </w:rPr>
        <w:t>Для подсчета используйте функции СРЗНА</w:t>
      </w:r>
      <w:proofErr w:type="gramStart"/>
      <w:r w:rsidRPr="00F44CE9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F44CE9">
        <w:rPr>
          <w:rFonts w:ascii="Times New Roman" w:hAnsi="Times New Roman" w:cs="Times New Roman"/>
          <w:sz w:val="24"/>
          <w:szCs w:val="24"/>
        </w:rPr>
        <w:t xml:space="preserve">) (среднее значение), МИН( ) (минимальное значение), МАКС() (максимальное значение). </w:t>
      </w:r>
    </w:p>
    <w:p w:rsidR="00247210" w:rsidRDefault="00F44CE9" w:rsidP="00F44CE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CE9">
        <w:rPr>
          <w:rFonts w:ascii="Times New Roman" w:hAnsi="Times New Roman" w:cs="Times New Roman"/>
          <w:sz w:val="24"/>
          <w:szCs w:val="24"/>
        </w:rPr>
        <w:t xml:space="preserve">На основе полученных данных постойте </w:t>
      </w:r>
      <w:r w:rsidR="007F56BF" w:rsidRPr="00247210">
        <w:rPr>
          <w:rFonts w:ascii="Times New Roman" w:hAnsi="Times New Roman" w:cs="Times New Roman"/>
          <w:sz w:val="24"/>
          <w:szCs w:val="24"/>
        </w:rPr>
        <w:t>столбчатую диаграмму (гистограмму)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BF" w:rsidRPr="007F56BF" w:rsidRDefault="007F56BF" w:rsidP="007F56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56BF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</w:p>
    <w:p w:rsidR="00247210" w:rsidRPr="00247210" w:rsidRDefault="00247210" w:rsidP="00273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7210">
        <w:rPr>
          <w:rFonts w:ascii="Times New Roman" w:hAnsi="Times New Roman" w:cs="Times New Roman"/>
          <w:sz w:val="24"/>
          <w:szCs w:val="24"/>
        </w:rPr>
        <w:t xml:space="preserve">Используя набор данных «Валовой сбор и урожайность </w:t>
      </w:r>
      <w:proofErr w:type="spellStart"/>
      <w:r w:rsidRPr="00247210">
        <w:rPr>
          <w:rFonts w:ascii="Times New Roman" w:hAnsi="Times New Roman" w:cs="Times New Roman"/>
          <w:sz w:val="24"/>
          <w:szCs w:val="24"/>
        </w:rPr>
        <w:t>сельхозкультур</w:t>
      </w:r>
      <w:proofErr w:type="spellEnd"/>
      <w:r w:rsidRPr="00247210">
        <w:rPr>
          <w:rFonts w:ascii="Times New Roman" w:hAnsi="Times New Roman" w:cs="Times New Roman"/>
          <w:sz w:val="24"/>
          <w:szCs w:val="24"/>
        </w:rPr>
        <w:t xml:space="preserve"> в России» (Приложение №8), составить таблицу и выяснить среднюю урожайность каждой культуры за три года, суммарный сбор каждой культуры за три года, минимальную урожайность и максимальный сбор культур за каждый год. Построить столбчатую диаграмму (гистограмму), отражающую изменение урожайности картофеля, овощей зерновых и сахарной свеклы в разные годы.</w:t>
      </w:r>
    </w:p>
    <w:p w:rsidR="007F56BF" w:rsidRDefault="007F56BF" w:rsidP="002472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6BF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2735E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F56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7210" w:rsidRDefault="00247210" w:rsidP="00273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7210">
        <w:rPr>
          <w:rFonts w:ascii="Times New Roman" w:hAnsi="Times New Roman" w:cs="Times New Roman"/>
          <w:sz w:val="24"/>
          <w:szCs w:val="24"/>
        </w:rPr>
        <w:t>Используя набор данных «Затраты на посадку...» (Приложение №2), составить таблицу и выяснить количество материальных затрат на самую дорогую и самую дешёвую культуру, минимальные затраты на удобрение, максимальные затраты на горючее, средние затраты на оплату труда. Построить круговую диаграмму, отражающую затраты на посадочный материал ягодных культур - крыжовника, земляники, малины и черной смородины.</w:t>
      </w:r>
    </w:p>
    <w:p w:rsidR="002735E0" w:rsidRPr="00247210" w:rsidRDefault="002735E0" w:rsidP="007F56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6BF" w:rsidRDefault="007F56BF" w:rsidP="002472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6B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Задание </w:t>
      </w:r>
      <w:r w:rsidR="002735E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F56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7210" w:rsidRPr="00247210" w:rsidRDefault="00247210" w:rsidP="00273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7210">
        <w:rPr>
          <w:rFonts w:ascii="Times New Roman" w:hAnsi="Times New Roman" w:cs="Times New Roman"/>
          <w:sz w:val="24"/>
          <w:szCs w:val="24"/>
        </w:rPr>
        <w:t>Используя набор данных «Производство основных видов продукции чёрной металлургии» (Приложение №3), составить таблицу и выяснить, сколько кокса, чугуна, стали и проката было произведено за рассматриваемые годы, среднее количество произведённых кокса, чугуна, стали и проката, минимальное и максимальное значения произведённой продукции чёрной металлургии. Построить столбчатую диаграмму (гистограмму), отражающую количество выпущенной стали, кокса, проката и чугуна в 1992 году.</w:t>
      </w:r>
    </w:p>
    <w:p w:rsidR="002735E0" w:rsidRDefault="002735E0" w:rsidP="002735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6BF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F56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7210" w:rsidRPr="00247210" w:rsidRDefault="00247210" w:rsidP="00273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7210">
        <w:rPr>
          <w:rFonts w:ascii="Times New Roman" w:hAnsi="Times New Roman" w:cs="Times New Roman"/>
          <w:sz w:val="24"/>
          <w:szCs w:val="24"/>
        </w:rPr>
        <w:t>Используя набор данных «Важнейшие проливы» (Приложение №4), составить таблицу и выяснить минимальную ширину проливов, максимальную глубину проливов и среднюю длину проливов. Построить столбчатую диаграмму (гистограмму), отражающую глубину проливов.</w:t>
      </w:r>
    </w:p>
    <w:p w:rsidR="002735E0" w:rsidRDefault="002735E0" w:rsidP="002735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6BF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7F56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7210" w:rsidRPr="00247210" w:rsidRDefault="00247210" w:rsidP="00273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7210">
        <w:rPr>
          <w:rFonts w:ascii="Times New Roman" w:hAnsi="Times New Roman" w:cs="Times New Roman"/>
          <w:sz w:val="24"/>
          <w:szCs w:val="24"/>
        </w:rPr>
        <w:t>Используя набор данных «Крупнейшие реки» (Приложение №5), составить таблицу и выяснить минимальный расход воды в реках, максимальную площадь бассейна и среднюю длину рек. Построить круговую диаграмму, отражающую длину рек.</w:t>
      </w:r>
    </w:p>
    <w:p w:rsidR="002735E0" w:rsidRDefault="002735E0" w:rsidP="002735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6BF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F56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7210" w:rsidRPr="00247210" w:rsidRDefault="00247210" w:rsidP="00273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7210">
        <w:rPr>
          <w:rFonts w:ascii="Times New Roman" w:hAnsi="Times New Roman" w:cs="Times New Roman"/>
          <w:sz w:val="24"/>
          <w:szCs w:val="24"/>
        </w:rPr>
        <w:t>Используя набор данных «Важнейшие судоходные каналы» (Приложение №6), составить таблицу и выяснить суммарную длину каналов, среднюю глубину каналов в фарватере, максимальную и минимальную ширину. Построить круговую диаграмму, отражающую ширину каналов.</w:t>
      </w:r>
    </w:p>
    <w:p w:rsidR="002735E0" w:rsidRDefault="002735E0" w:rsidP="002735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6BF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F56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7210" w:rsidRPr="00247210" w:rsidRDefault="00247210" w:rsidP="00273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7210">
        <w:rPr>
          <w:rFonts w:ascii="Times New Roman" w:hAnsi="Times New Roman" w:cs="Times New Roman"/>
          <w:sz w:val="24"/>
          <w:szCs w:val="24"/>
        </w:rPr>
        <w:t>Используя набор данных «Крупнейшие водохранилища России» (Приложение №7), составить таблицу и выяснить суммарную площадь водохранилищ, средний объём водохранилищ, максимальную глубину и минимальный напор водохранилищ. Построить столбчатую диаграмму (гистограмму), отражающую площадь водохранилищ.</w:t>
      </w:r>
    </w:p>
    <w:p w:rsidR="002735E0" w:rsidRDefault="002735E0" w:rsidP="002735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6BF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FA32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F56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7210" w:rsidRPr="00247210" w:rsidRDefault="00247210" w:rsidP="00FA32E2">
      <w:pPr>
        <w:jc w:val="both"/>
        <w:rPr>
          <w:rFonts w:ascii="Times New Roman" w:hAnsi="Times New Roman" w:cs="Times New Roman"/>
          <w:sz w:val="24"/>
          <w:szCs w:val="24"/>
        </w:rPr>
      </w:pPr>
      <w:r w:rsidRPr="00247210">
        <w:rPr>
          <w:rFonts w:ascii="Times New Roman" w:hAnsi="Times New Roman" w:cs="Times New Roman"/>
          <w:sz w:val="24"/>
          <w:szCs w:val="24"/>
        </w:rPr>
        <w:t>Используя набор данных «Крупные промышленные корпорации» (Приложение №9), составить таблицу и выяснить суммарный и средний оборот всех компаний, максимальное и минимальное количество работников. Построить столбчатую диаграмму (гистограмму), отражающую количество работников компаний.</w:t>
      </w:r>
    </w:p>
    <w:p w:rsidR="002735E0" w:rsidRDefault="002735E0" w:rsidP="002735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6BF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FA32E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7F56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7210" w:rsidRDefault="00247210" w:rsidP="00FA32E2">
      <w:pPr>
        <w:jc w:val="both"/>
        <w:rPr>
          <w:rFonts w:ascii="Times New Roman" w:hAnsi="Times New Roman" w:cs="Times New Roman"/>
          <w:sz w:val="24"/>
          <w:szCs w:val="24"/>
        </w:rPr>
      </w:pPr>
      <w:r w:rsidRPr="00247210">
        <w:rPr>
          <w:rFonts w:ascii="Times New Roman" w:hAnsi="Times New Roman" w:cs="Times New Roman"/>
          <w:sz w:val="24"/>
          <w:szCs w:val="24"/>
        </w:rPr>
        <w:t>Используя набор данных «Товарооборот России с некоторыми странами» (Приложение №10), составить таблицу и выяснить суммарный объём импорта (экспорта) и</w:t>
      </w:r>
      <w:proofErr w:type="gramStart"/>
      <w:r w:rsidRPr="00247210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247210">
        <w:rPr>
          <w:rFonts w:ascii="Times New Roman" w:hAnsi="Times New Roman" w:cs="Times New Roman"/>
          <w:sz w:val="24"/>
          <w:szCs w:val="24"/>
        </w:rPr>
        <w:t>в) каждой(</w:t>
      </w:r>
      <w:proofErr w:type="spellStart"/>
      <w:r w:rsidRPr="00247210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247210">
        <w:rPr>
          <w:rFonts w:ascii="Times New Roman" w:hAnsi="Times New Roman" w:cs="Times New Roman"/>
          <w:sz w:val="24"/>
          <w:szCs w:val="24"/>
        </w:rPr>
        <w:t>) страны(у) в 1989г. и 1990г.; максимальный и минимальный объём импорта в 1989г.; максимальный и минимальный объём экспорта в 1989г. Построить круговую диаграмму, отражающую импорт и экспорт из разных стран в 1990 году.</w:t>
      </w:r>
    </w:p>
    <w:p w:rsidR="00FA32E2" w:rsidRDefault="00FA32E2" w:rsidP="00FA3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2E2" w:rsidRDefault="00FA32E2" w:rsidP="00FA3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2E2" w:rsidRPr="00264C31" w:rsidRDefault="00FA32E2" w:rsidP="00FA32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C31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Приложение № 1.</w:t>
      </w:r>
      <w:r w:rsidRPr="00264C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7210" w:rsidRPr="00264C31" w:rsidRDefault="00247210" w:rsidP="00FA32E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C31">
        <w:rPr>
          <w:rFonts w:ascii="Times New Roman" w:hAnsi="Times New Roman" w:cs="Times New Roman"/>
          <w:i/>
          <w:sz w:val="20"/>
          <w:szCs w:val="20"/>
        </w:rPr>
        <w:t>Территория и население по континентам</w:t>
      </w:r>
      <w:r w:rsidR="00FA32E2" w:rsidRPr="00264C31">
        <w:rPr>
          <w:rFonts w:ascii="Times New Roman" w:hAnsi="Times New Roman" w:cs="Times New Roman"/>
          <w:i/>
          <w:sz w:val="20"/>
          <w:szCs w:val="20"/>
        </w:rPr>
        <w:t>.</w:t>
      </w:r>
    </w:p>
    <w:p w:rsidR="00FA32E2" w:rsidRPr="00264C31" w:rsidRDefault="00247210" w:rsidP="00FA32E2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 xml:space="preserve">Территория Австралии и Океании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8,5 млн. кв.км. Население Европы в 1989 г. составило 701 млн. человек. Территория Южной Америки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17,8 млн. кв.км. Население Северной и Центральной Америки в 1989 г. составило 422 млн. человек. Население Южной Америки в 1989 г. составило 291 млн. человек. Территория Африки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30,3 млн. кв.км. Население Австралии и Океании в 1989 г. составило 26 млн. человек. Территория Азии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44,4 млн. кв.км. Территория Северной и Центральной Америки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24,3 млн. кв.км. Население Азии в 1970 г. составило 2161 млн. человек. Население Африки в 1970 г. составило 361 млн. человек. Население Австралии и Океании в 1970 г. составило 19 млн. человек. Население Южной Америки в 1970 г. составило 190 млн. человек. Население Северной и Центральной Америки в 1970 г. составило 320 млн. человек. Население Африки в 1989 г. составило 628 млн. человек. Население Европы в 1970 г. составило 642 млн. человек. Территория Европы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10,5 млн. кв.км. Население Азии в 1989 г. составило 3133 млн. человек. </w:t>
      </w:r>
    </w:p>
    <w:p w:rsidR="00FA32E2" w:rsidRPr="00264C31" w:rsidRDefault="00FA32E2" w:rsidP="00FA32E2">
      <w:pPr>
        <w:rPr>
          <w:rFonts w:ascii="Times New Roman" w:hAnsi="Times New Roman" w:cs="Times New Roman"/>
          <w:b/>
          <w:sz w:val="20"/>
          <w:szCs w:val="20"/>
        </w:rPr>
      </w:pPr>
      <w:r w:rsidRPr="00264C31">
        <w:rPr>
          <w:rFonts w:ascii="Times New Roman" w:hAnsi="Times New Roman" w:cs="Times New Roman"/>
          <w:b/>
          <w:i/>
          <w:sz w:val="20"/>
          <w:szCs w:val="20"/>
        </w:rPr>
        <w:t>Приложение № 2.</w:t>
      </w:r>
      <w:r w:rsidRPr="00264C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32E2" w:rsidRPr="00264C31" w:rsidRDefault="00247210" w:rsidP="00FA32E2">
      <w:pPr>
        <w:rPr>
          <w:rFonts w:ascii="Times New Roman" w:hAnsi="Times New Roman" w:cs="Times New Roman"/>
          <w:i/>
          <w:sz w:val="20"/>
          <w:szCs w:val="20"/>
        </w:rPr>
      </w:pPr>
      <w:r w:rsidRPr="00264C31">
        <w:rPr>
          <w:rFonts w:ascii="Times New Roman" w:hAnsi="Times New Roman" w:cs="Times New Roman"/>
          <w:i/>
          <w:sz w:val="20"/>
          <w:szCs w:val="20"/>
        </w:rPr>
        <w:t xml:space="preserve">Затраты на посадку 1 га садов и ягодников в центральных областях России в 1980 г. </w:t>
      </w:r>
    </w:p>
    <w:p w:rsidR="00FA32E2" w:rsidRPr="00264C31" w:rsidRDefault="00247210" w:rsidP="00FA32E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C31">
        <w:rPr>
          <w:rFonts w:ascii="Times New Roman" w:hAnsi="Times New Roman" w:cs="Times New Roman"/>
          <w:sz w:val="20"/>
          <w:szCs w:val="20"/>
        </w:rPr>
        <w:t xml:space="preserve">Оплата труда при посадке крыжовника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167 руб. Горючее, ядохимикаты и гербициды для посадки земляники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115 руб. Удобрения при посадке черной смородины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585 руб. Горючее, ядохимикаты и гербициды для посадки черной смородины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90 руб. Оплата труда при посадке черной смородины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150 руб. Удобрения при посадке малины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532 руб. Удобрения при посадке крыжовника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555 руб. Горючее, ядохимикаты и гербициды для посадки малины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89 руб. Оплата труда при посадке малины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235 руб. Горючее, ядохимикаты и гербициды для посадки крыжовника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92 руб. Удобрения при посадке земляники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313 руб. Оплата труда при посадке земляники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316 руб. </w:t>
      </w:r>
    </w:p>
    <w:p w:rsidR="00FA32E2" w:rsidRPr="00264C31" w:rsidRDefault="00FA32E2" w:rsidP="00FA32E2">
      <w:pPr>
        <w:rPr>
          <w:rFonts w:ascii="Times New Roman" w:hAnsi="Times New Roman" w:cs="Times New Roman"/>
          <w:b/>
          <w:sz w:val="20"/>
          <w:szCs w:val="20"/>
        </w:rPr>
      </w:pPr>
      <w:r w:rsidRPr="00264C31">
        <w:rPr>
          <w:rFonts w:ascii="Times New Roman" w:hAnsi="Times New Roman" w:cs="Times New Roman"/>
          <w:b/>
          <w:i/>
          <w:sz w:val="20"/>
          <w:szCs w:val="20"/>
        </w:rPr>
        <w:t>Приложение № 3.</w:t>
      </w:r>
      <w:r w:rsidRPr="00264C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32E2" w:rsidRPr="00264C31" w:rsidRDefault="00247210" w:rsidP="00FA32E2">
      <w:pPr>
        <w:rPr>
          <w:rFonts w:ascii="Times New Roman" w:hAnsi="Times New Roman" w:cs="Times New Roman"/>
          <w:i/>
          <w:sz w:val="20"/>
          <w:szCs w:val="20"/>
        </w:rPr>
      </w:pPr>
      <w:r w:rsidRPr="00264C31">
        <w:rPr>
          <w:rFonts w:ascii="Times New Roman" w:hAnsi="Times New Roman" w:cs="Times New Roman"/>
          <w:i/>
          <w:sz w:val="20"/>
          <w:szCs w:val="20"/>
        </w:rPr>
        <w:t>Производство основных видов продукции черной металлургии в Пермской области</w:t>
      </w:r>
      <w:r w:rsidR="00FA32E2" w:rsidRPr="00264C31">
        <w:rPr>
          <w:rFonts w:ascii="Times New Roman" w:hAnsi="Times New Roman" w:cs="Times New Roman"/>
          <w:i/>
          <w:sz w:val="20"/>
          <w:szCs w:val="20"/>
        </w:rPr>
        <w:t>.</w:t>
      </w:r>
      <w:r w:rsidRPr="00264C3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A32E2" w:rsidRPr="00264C31" w:rsidRDefault="00247210" w:rsidP="00FA32E2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 xml:space="preserve">В 1960 г. было произведено 1283 тыс. т кокса. В 1913 г. было произведено 285 тыс. т стали. В 1940 г. было произведено 124 тыс. т чугуна. В 1950 г. было произведено 772, тыс. т проката. В 1994 г. было произведено 494 тыс. т чугуна. В 1960 г. было произведено 1482 тыс. т стали. В 1940 г. было произведено 386 тыс. т проката. В 1992 г. было произведено 642 тыс. т кокса. В 1950 г. было произведено 1027 тыс. т стали. В 1980 г. было произведено 523 тыс. т кокса. В 1940 г. было произведено 428 тыс. т стали. В 1960 г. было произведено 1259 тыс. т проката. В 1970 г. было произведено 716 тыс. т чугуна. В 1940 г. было произведено 149 тыс. т кокса. В 1950 г. было произведено 360 тыс. т чугуна. В 1913 г. было произведено 203 тыс. т проката. В 1980 г. было произведено 1771 тыс. т стали. В 1994 г. было произведено 363 тыс. т кокса. В 1960 г. было произведено 502 тыс. т чугуна. В 1970 г. было произведено 1658 тыс. т стали. В 1913 г. было произведено 155 тыс. т чугуна. В 1980 г. было произведено 1442 тыс. т проката. В 1992 г. было произведено 664 тыс. т чугуна. В 1970 г. было произведено 1161 тыс. т кокса. В 1992 г. было произведено 1371 тыс. т проката. В 1994 г. было произведено 615 тыс. т стали. В 1980 г. было произведено 913 тыс. т чугуна. В 1970 г. было произведено 1358 тыс. т проката. В 1992 г. было произведено 1037 тыс. т стали. </w:t>
      </w:r>
    </w:p>
    <w:p w:rsidR="00FA32E2" w:rsidRPr="00264C31" w:rsidRDefault="00FA32E2" w:rsidP="00FA32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2E2" w:rsidRPr="00264C31" w:rsidRDefault="00FA32E2" w:rsidP="00FA32E2">
      <w:pPr>
        <w:rPr>
          <w:rFonts w:ascii="Times New Roman" w:hAnsi="Times New Roman" w:cs="Times New Roman"/>
          <w:b/>
          <w:sz w:val="20"/>
          <w:szCs w:val="20"/>
        </w:rPr>
      </w:pPr>
      <w:r w:rsidRPr="00264C31">
        <w:rPr>
          <w:rFonts w:ascii="Times New Roman" w:hAnsi="Times New Roman" w:cs="Times New Roman"/>
          <w:b/>
          <w:i/>
          <w:sz w:val="20"/>
          <w:szCs w:val="20"/>
        </w:rPr>
        <w:t>Приложение № 4.</w:t>
      </w:r>
      <w:r w:rsidRPr="00264C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7210" w:rsidRPr="00264C31" w:rsidRDefault="00247210" w:rsidP="00FA32E2">
      <w:pPr>
        <w:rPr>
          <w:rFonts w:ascii="Times New Roman" w:hAnsi="Times New Roman" w:cs="Times New Roman"/>
          <w:i/>
          <w:sz w:val="20"/>
          <w:szCs w:val="20"/>
        </w:rPr>
      </w:pPr>
      <w:r w:rsidRPr="00264C31">
        <w:rPr>
          <w:rFonts w:ascii="Times New Roman" w:hAnsi="Times New Roman" w:cs="Times New Roman"/>
          <w:i/>
          <w:sz w:val="20"/>
          <w:szCs w:val="20"/>
        </w:rPr>
        <w:t>Важнейшие проливы</w:t>
      </w:r>
      <w:r w:rsidR="00FA32E2" w:rsidRPr="00264C31">
        <w:rPr>
          <w:rFonts w:ascii="Times New Roman" w:hAnsi="Times New Roman" w:cs="Times New Roman"/>
          <w:i/>
          <w:sz w:val="20"/>
          <w:szCs w:val="20"/>
        </w:rPr>
        <w:t>.</w:t>
      </w:r>
    </w:p>
    <w:p w:rsidR="00FA32E2" w:rsidRPr="00264C31" w:rsidRDefault="00247210" w:rsidP="00FA32E2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 xml:space="preserve">Длина пролива Босфор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30 км. Наименьшая ширина Магелланова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2200 м. Наименьшая глубина судоходной части Ормузского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27 м. Наименьшая ширина Гибралтарского пролива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14 км. Наименьшая глубина судоходной части Баб-эль-Мандебского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31м. Длина Ормузского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195 км. Длина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Гудзонова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806 км. Наименьшая глубина судоходной части Магелланова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29 м. Длина Берингова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96 км. Наименьшая ширина пролива Босфор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700 м. Наименьшая глубина судоходной части пролива Дарданеллы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29 м. Длина пролива Ла-Манш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578 км. Наименьшая глубина</w:t>
      </w:r>
      <w:r w:rsidR="00FA32E2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судоходной части Берингова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36 м. Длина Магелланова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575 км. Длина пролива Дарданеллы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120 км. Наименьшая ширина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Гудзонова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115 км. Наименьшая глубина судоходной части Гибралтарского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53 м. Наименьшая ширина Ормузского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54 км. Наименьшая глубина судоходной части пролива Ла-Манш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23 м. Наименьшая ширина пролива Дарданеллы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1300 м. Длина Баб-эль-Мандебского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109 км. Наименьшая глубина судоходной части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Гудзонова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141 м. Наименьшая ширина Баб-эль-Мандебского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26 км. Наименьшая ширина пролива Ла-Манш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32 км. </w:t>
      </w:r>
      <w:r w:rsidRPr="00264C31">
        <w:rPr>
          <w:rFonts w:ascii="Times New Roman" w:hAnsi="Times New Roman" w:cs="Times New Roman"/>
          <w:sz w:val="20"/>
          <w:szCs w:val="20"/>
        </w:rPr>
        <w:lastRenderedPageBreak/>
        <w:t xml:space="preserve">Наименьшая глубина судоходной части пролива Босфор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20 м. Длина Гибралтарского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59 км. Наименьшая ширина Берингова пролива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86 км. </w:t>
      </w:r>
    </w:p>
    <w:p w:rsidR="00FA32E2" w:rsidRPr="00264C31" w:rsidRDefault="00FA32E2" w:rsidP="00FA32E2">
      <w:pPr>
        <w:rPr>
          <w:rFonts w:ascii="Times New Roman" w:hAnsi="Times New Roman" w:cs="Times New Roman"/>
          <w:b/>
          <w:sz w:val="20"/>
          <w:szCs w:val="20"/>
        </w:rPr>
      </w:pPr>
      <w:r w:rsidRPr="00264C31">
        <w:rPr>
          <w:rFonts w:ascii="Times New Roman" w:hAnsi="Times New Roman" w:cs="Times New Roman"/>
          <w:b/>
          <w:i/>
          <w:sz w:val="20"/>
          <w:szCs w:val="20"/>
        </w:rPr>
        <w:t>Приложение № 5.</w:t>
      </w:r>
      <w:r w:rsidRPr="00264C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7210" w:rsidRPr="00264C31" w:rsidRDefault="00247210" w:rsidP="00FA32E2">
      <w:pPr>
        <w:rPr>
          <w:rFonts w:ascii="Times New Roman" w:hAnsi="Times New Roman" w:cs="Times New Roman"/>
          <w:i/>
          <w:sz w:val="20"/>
          <w:szCs w:val="20"/>
        </w:rPr>
      </w:pPr>
      <w:r w:rsidRPr="00264C31">
        <w:rPr>
          <w:rFonts w:ascii="Times New Roman" w:hAnsi="Times New Roman" w:cs="Times New Roman"/>
          <w:i/>
          <w:sz w:val="20"/>
          <w:szCs w:val="20"/>
        </w:rPr>
        <w:t>Крупнейшие реки</w:t>
      </w:r>
      <w:r w:rsidR="00FA32E2" w:rsidRPr="00264C31">
        <w:rPr>
          <w:rFonts w:ascii="Times New Roman" w:hAnsi="Times New Roman" w:cs="Times New Roman"/>
          <w:i/>
          <w:sz w:val="20"/>
          <w:szCs w:val="20"/>
        </w:rPr>
        <w:t>.</w:t>
      </w:r>
    </w:p>
    <w:p w:rsidR="00FA32E2" w:rsidRPr="00264C31" w:rsidRDefault="00247210" w:rsidP="00FA32E2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 xml:space="preserve">Средний расход воды в Амуре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10900 куб. м./с. Площадь бассейна Янцзы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1809 тыс. кв. км. Длина Нила (с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Кагерой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6671 км. Средний расход воды в Миссисипи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19000 куб.м./с. Площадь бассейна Амазонки (от истока р.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Мараньон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6915 тыс. кв. км. Площадь бассейна Хуанхэ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771 тыс. кв. км. Средний расход воды в Оби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12700 куб. м./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Длина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Янцзы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5800. км. Площадь бассейна Миссисипи (с Миссури)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3268 тыс. кв. км. Средний расход воды в Амазонке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220000 куб. м./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Длина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Хуанхэ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4845 км. Площадь бассейна Амура (с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Аргунью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1855 тыс. кв. км. Средний расход воды в Янцзы — 34000 куб. м./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Длина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Меконга — 4500 км. Средний расход воды в Ниле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2600 куб. м./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Длина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Миссисипи (с Миссури)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6420 км. Длина Оби (с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Иртышом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5410 км. Средний расход воды в Меконге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13200 куб. м./с. Площадь бассейна Нила (с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Кагерой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2870 тыс. кв. км. Длина Амура (с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Аргунью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4440 км. Средний расход воды в Хуанхэ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2000 куб. м./с. Площадь бассейна Меконга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810 тыс. кв. км. Длина Амазонки (от истока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>араньон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6400 км. Площадь бассейна Оби (с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Иртышом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2990 тыс. кв. км. </w:t>
      </w:r>
    </w:p>
    <w:p w:rsidR="00FA32E2" w:rsidRPr="00264C31" w:rsidRDefault="00FA32E2" w:rsidP="00FA32E2">
      <w:pPr>
        <w:rPr>
          <w:rFonts w:ascii="Times New Roman" w:hAnsi="Times New Roman" w:cs="Times New Roman"/>
          <w:b/>
          <w:sz w:val="20"/>
          <w:szCs w:val="20"/>
        </w:rPr>
      </w:pPr>
      <w:r w:rsidRPr="00264C31">
        <w:rPr>
          <w:rFonts w:ascii="Times New Roman" w:hAnsi="Times New Roman" w:cs="Times New Roman"/>
          <w:b/>
          <w:i/>
          <w:sz w:val="20"/>
          <w:szCs w:val="20"/>
        </w:rPr>
        <w:t>Приложение № 6.</w:t>
      </w:r>
      <w:r w:rsidRPr="00264C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7210" w:rsidRPr="00264C31" w:rsidRDefault="00247210" w:rsidP="00FA32E2">
      <w:pPr>
        <w:rPr>
          <w:rFonts w:ascii="Times New Roman" w:hAnsi="Times New Roman" w:cs="Times New Roman"/>
          <w:i/>
          <w:sz w:val="20"/>
          <w:szCs w:val="20"/>
        </w:rPr>
      </w:pPr>
      <w:r w:rsidRPr="00264C31">
        <w:rPr>
          <w:rFonts w:ascii="Times New Roman" w:hAnsi="Times New Roman" w:cs="Times New Roman"/>
          <w:i/>
          <w:sz w:val="20"/>
          <w:szCs w:val="20"/>
        </w:rPr>
        <w:t>Важные судоходные каналы</w:t>
      </w:r>
      <w:r w:rsidR="00FA32E2" w:rsidRPr="00264C31">
        <w:rPr>
          <w:rFonts w:ascii="Times New Roman" w:hAnsi="Times New Roman" w:cs="Times New Roman"/>
          <w:i/>
          <w:sz w:val="20"/>
          <w:szCs w:val="20"/>
        </w:rPr>
        <w:t>.</w:t>
      </w:r>
    </w:p>
    <w:p w:rsidR="00FA32E2" w:rsidRPr="00264C31" w:rsidRDefault="00247210" w:rsidP="00FA32E2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>Волго-Балтийский водный путь имеет ширину 120 м. Суэцкий канал имеет длину 161 км. Южный канал имеет глубину на фарватере 2 м. Канал Рона-Рейн имеет длину 320 км. Панамский канал имеет ширину 305 м. Береговой канал имеет длину 5580 км. Южный канал имеет длину 241 км. Волго-Балтийский водный путь имеет длину 1100 км. Канал Рона-Рейн имеет ширину 100 м. Панамский канал имеет длину 82 км. Великий (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Даюньхэ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канал имеет длину 1782 км.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 xml:space="preserve">Волго-Балтийский водный путь имеет глубину на фарватере 4 м. Среднегерманский канал имеет ширину 40 м.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Кильский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канал имеет ширину 214 м.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Беломоро-Балтийский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канал имеет глубину на фарватере 5 м. Суэцкий канал имеет глубину на фарватере 16 м. Панамский канал имеет глубину на фарватере 12 м.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Кильский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канал имеет длину 99 км.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Береговой канал имеет ширину 60 м.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Кильский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канал имеет глубину на фарватере 11 м. Великий (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Даюньхэ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канал имеет глубину на фарватере 3 м. Суэцкий канал имеет ширину 318м. Канал Рона-Рейн имеет глубину на фарватере 2 м. </w:t>
      </w:r>
      <w:proofErr w:type="spellStart"/>
      <w:proofErr w:type="gramStart"/>
      <w:r w:rsidRPr="00264C31">
        <w:rPr>
          <w:rFonts w:ascii="Times New Roman" w:hAnsi="Times New Roman" w:cs="Times New Roman"/>
          <w:sz w:val="20"/>
          <w:szCs w:val="20"/>
        </w:rPr>
        <w:t>Средне-германский</w:t>
      </w:r>
      <w:proofErr w:type="spellEnd"/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канал имеет длину 325 км.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Беломоро-Балтийский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канал имеет длину 227 км. Береговой канал имеет глубину на фарватере 13 м. Южный канал имеет ширину 20 м. Среднегерманский канал имеет глубину на фарватере 6 м. Великий (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Даюньхэ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) канал имеет ширину 350 м. </w:t>
      </w:r>
    </w:p>
    <w:p w:rsidR="00FA32E2" w:rsidRPr="00264C31" w:rsidRDefault="00FA32E2" w:rsidP="00FA32E2">
      <w:pPr>
        <w:rPr>
          <w:rFonts w:ascii="Times New Roman" w:hAnsi="Times New Roman" w:cs="Times New Roman"/>
          <w:b/>
          <w:sz w:val="20"/>
          <w:szCs w:val="20"/>
        </w:rPr>
      </w:pPr>
      <w:r w:rsidRPr="00264C31">
        <w:rPr>
          <w:rFonts w:ascii="Times New Roman" w:hAnsi="Times New Roman" w:cs="Times New Roman"/>
          <w:b/>
          <w:i/>
          <w:sz w:val="20"/>
          <w:szCs w:val="20"/>
        </w:rPr>
        <w:t>Приложение № 7.</w:t>
      </w:r>
      <w:r w:rsidRPr="00264C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7210" w:rsidRPr="00264C31" w:rsidRDefault="00247210" w:rsidP="00FA32E2">
      <w:pPr>
        <w:rPr>
          <w:rFonts w:ascii="Times New Roman" w:hAnsi="Times New Roman" w:cs="Times New Roman"/>
          <w:i/>
          <w:sz w:val="20"/>
          <w:szCs w:val="20"/>
        </w:rPr>
      </w:pPr>
      <w:r w:rsidRPr="00264C31">
        <w:rPr>
          <w:rFonts w:ascii="Times New Roman" w:hAnsi="Times New Roman" w:cs="Times New Roman"/>
          <w:i/>
          <w:sz w:val="20"/>
          <w:szCs w:val="20"/>
        </w:rPr>
        <w:t>Крупные водохранилища России</w:t>
      </w:r>
      <w:r w:rsidR="00FA32E2" w:rsidRPr="00264C31">
        <w:rPr>
          <w:rFonts w:ascii="Times New Roman" w:hAnsi="Times New Roman" w:cs="Times New Roman"/>
          <w:i/>
          <w:sz w:val="20"/>
          <w:szCs w:val="20"/>
        </w:rPr>
        <w:t>.</w:t>
      </w:r>
    </w:p>
    <w:p w:rsidR="00F44CE9" w:rsidRPr="00264C31" w:rsidRDefault="00247210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 xml:space="preserve">Средняя глубина Камского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6,5 м. Площадь Горьковского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1400 кв. км. Объем Рыбинского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25 куб.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. Напор Цимлянского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26 м. Площадь Братского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5300 кв. км. Средняя глубина Куйбышевского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10,4 м. Объем Цимлянского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24 куб. км. Площадь Рыбинского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4650 кв. км. Объем Братского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180 куб.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>. Площадь Камского водохранилища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1700 кв. км. Напор Куйбышевского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28 м. Средняя глубина Цимлянского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9,2 м. Напор Камского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21 м. Площадь Куйбышевского водохранилища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5000 кв. км. Напор Рыбинского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25 м. Средняя глубина Братского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Pr="00264C31">
        <w:rPr>
          <w:rFonts w:ascii="Times New Roman" w:hAnsi="Times New Roman" w:cs="Times New Roman"/>
          <w:sz w:val="20"/>
          <w:szCs w:val="20"/>
        </w:rPr>
        <w:t xml:space="preserve"> 34 м. Объем Куйбышевского</w:t>
      </w:r>
      <w:r w:rsidR="00F44CE9" w:rsidRPr="00264C31">
        <w:rPr>
          <w:rFonts w:ascii="Times New Roman" w:hAnsi="Times New Roman" w:cs="Times New Roman"/>
          <w:sz w:val="20"/>
          <w:szCs w:val="20"/>
        </w:rPr>
        <w:t xml:space="preserve">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="00F44CE9" w:rsidRPr="00264C31">
        <w:rPr>
          <w:rFonts w:ascii="Times New Roman" w:hAnsi="Times New Roman" w:cs="Times New Roman"/>
          <w:sz w:val="20"/>
          <w:szCs w:val="20"/>
        </w:rPr>
        <w:t xml:space="preserve"> 52 куб. км. Напор Горьковского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="00F44CE9" w:rsidRPr="00264C31">
        <w:rPr>
          <w:rFonts w:ascii="Times New Roman" w:hAnsi="Times New Roman" w:cs="Times New Roman"/>
          <w:sz w:val="20"/>
          <w:szCs w:val="20"/>
        </w:rPr>
        <w:t xml:space="preserve"> 18 м. Средняя глубина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="00F44CE9" w:rsidRPr="00264C31">
        <w:rPr>
          <w:rFonts w:ascii="Times New Roman" w:hAnsi="Times New Roman" w:cs="Times New Roman"/>
          <w:sz w:val="20"/>
          <w:szCs w:val="20"/>
        </w:rPr>
        <w:t xml:space="preserve">Рыбинского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="00F44CE9" w:rsidRPr="00264C31">
        <w:rPr>
          <w:rFonts w:ascii="Times New Roman" w:hAnsi="Times New Roman" w:cs="Times New Roman"/>
          <w:sz w:val="20"/>
          <w:szCs w:val="20"/>
        </w:rPr>
        <w:t xml:space="preserve"> 5,5 м. Объем Камского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="00F44CE9" w:rsidRPr="00264C31">
        <w:rPr>
          <w:rFonts w:ascii="Times New Roman" w:hAnsi="Times New Roman" w:cs="Times New Roman"/>
          <w:sz w:val="20"/>
          <w:szCs w:val="20"/>
        </w:rPr>
        <w:t xml:space="preserve"> 11 куб. км. Напор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="00F44CE9" w:rsidRPr="00264C31">
        <w:rPr>
          <w:rFonts w:ascii="Times New Roman" w:hAnsi="Times New Roman" w:cs="Times New Roman"/>
          <w:sz w:val="20"/>
          <w:szCs w:val="20"/>
        </w:rPr>
        <w:t xml:space="preserve">Братского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="00F44CE9" w:rsidRPr="00264C31">
        <w:rPr>
          <w:rFonts w:ascii="Times New Roman" w:hAnsi="Times New Roman" w:cs="Times New Roman"/>
          <w:sz w:val="20"/>
          <w:szCs w:val="20"/>
        </w:rPr>
        <w:t xml:space="preserve"> 104 м. Площадь Цимлянского водохранилища </w:t>
      </w:r>
      <w:r w:rsidR="00264C31" w:rsidRPr="00264C31">
        <w:rPr>
          <w:rFonts w:ascii="Times New Roman" w:hAnsi="Times New Roman" w:cs="Times New Roman"/>
          <w:sz w:val="20"/>
          <w:szCs w:val="20"/>
        </w:rPr>
        <w:t>–</w:t>
      </w:r>
      <w:r w:rsidR="00F44CE9" w:rsidRPr="00264C31">
        <w:rPr>
          <w:rFonts w:ascii="Times New Roman" w:hAnsi="Times New Roman" w:cs="Times New Roman"/>
          <w:sz w:val="20"/>
          <w:szCs w:val="20"/>
        </w:rPr>
        <w:t xml:space="preserve"> 2600 кв. км.</w:t>
      </w:r>
    </w:p>
    <w:p w:rsidR="00264C31" w:rsidRPr="00264C31" w:rsidRDefault="00264C31" w:rsidP="00264C31">
      <w:pPr>
        <w:rPr>
          <w:rFonts w:ascii="Times New Roman" w:hAnsi="Times New Roman" w:cs="Times New Roman"/>
          <w:b/>
          <w:sz w:val="20"/>
          <w:szCs w:val="20"/>
        </w:rPr>
      </w:pPr>
      <w:r w:rsidRPr="00264C31">
        <w:rPr>
          <w:rFonts w:ascii="Times New Roman" w:hAnsi="Times New Roman" w:cs="Times New Roman"/>
          <w:b/>
          <w:i/>
          <w:sz w:val="20"/>
          <w:szCs w:val="20"/>
        </w:rPr>
        <w:t>Приложение № 8.</w:t>
      </w:r>
      <w:r w:rsidRPr="00264C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4CE9" w:rsidRPr="00264C31" w:rsidRDefault="00F44CE9" w:rsidP="00FA32E2">
      <w:pPr>
        <w:rPr>
          <w:rFonts w:ascii="Times New Roman" w:hAnsi="Times New Roman" w:cs="Times New Roman"/>
          <w:i/>
          <w:sz w:val="20"/>
          <w:szCs w:val="20"/>
        </w:rPr>
      </w:pPr>
      <w:r w:rsidRPr="00264C31">
        <w:rPr>
          <w:rFonts w:ascii="Times New Roman" w:hAnsi="Times New Roman" w:cs="Times New Roman"/>
          <w:i/>
          <w:sz w:val="20"/>
          <w:szCs w:val="20"/>
        </w:rPr>
        <w:t xml:space="preserve">Валовой сбор и урожайность </w:t>
      </w:r>
      <w:proofErr w:type="spellStart"/>
      <w:r w:rsidRPr="00264C31">
        <w:rPr>
          <w:rFonts w:ascii="Times New Roman" w:hAnsi="Times New Roman" w:cs="Times New Roman"/>
          <w:i/>
          <w:sz w:val="20"/>
          <w:szCs w:val="20"/>
        </w:rPr>
        <w:t>сельхозкультур</w:t>
      </w:r>
      <w:proofErr w:type="spellEnd"/>
      <w:r w:rsidRPr="00264C31">
        <w:rPr>
          <w:rFonts w:ascii="Times New Roman" w:hAnsi="Times New Roman" w:cs="Times New Roman"/>
          <w:i/>
          <w:sz w:val="20"/>
          <w:szCs w:val="20"/>
        </w:rPr>
        <w:t xml:space="preserve"> в России</w:t>
      </w:r>
      <w:r w:rsidR="00264C31" w:rsidRPr="00264C31">
        <w:rPr>
          <w:rFonts w:ascii="Times New Roman" w:hAnsi="Times New Roman" w:cs="Times New Roman"/>
          <w:i/>
          <w:sz w:val="20"/>
          <w:szCs w:val="20"/>
        </w:rPr>
        <w:t>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 xml:space="preserve">Урожайность картофеля в 1995 г. составила 117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с га. Валовой сбор зерновых культур в 1990 г.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составил 116,7 млн. т. Валовой сбор картофеля в 1995 г. составил 39,7 млн. т. Урожайность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сахарной свеклы в 1985 г. составила 211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с га. Валовой сбор сахарной свеклы в 1995 г. </w:t>
      </w:r>
      <w:r w:rsidR="00264C31" w:rsidRPr="00264C31">
        <w:rPr>
          <w:rFonts w:ascii="Times New Roman" w:hAnsi="Times New Roman" w:cs="Times New Roman"/>
          <w:sz w:val="20"/>
          <w:szCs w:val="20"/>
        </w:rPr>
        <w:t>С</w:t>
      </w:r>
      <w:r w:rsidRPr="00264C31">
        <w:rPr>
          <w:rFonts w:ascii="Times New Roman" w:hAnsi="Times New Roman" w:cs="Times New Roman"/>
          <w:sz w:val="20"/>
          <w:szCs w:val="20"/>
        </w:rPr>
        <w:t>оставил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19,1 млн. т. Урожайность зерновых культур в 1995 г. составила 11,6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с га. Валовой сбор зерновых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культур в 1995 г. составил 63,5 млн. т. Валовой сбор сахарной свеклы в1990 г. составил 31,1 млн.т. Валовой сбор картофеля в 1985 г. составил 33,9 млн. т. Урожайность сахарной свеклы в 1995 г.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составила 176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с га. Урожайность картофеля в 1990 г. составила 99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с га. Урожайность сахарной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свеклы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1990 г. составила 213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с га. </w:t>
      </w:r>
      <w:r w:rsidRPr="00264C31">
        <w:rPr>
          <w:rFonts w:ascii="Times New Roman" w:hAnsi="Times New Roman" w:cs="Times New Roman"/>
          <w:sz w:val="20"/>
          <w:szCs w:val="20"/>
        </w:rPr>
        <w:lastRenderedPageBreak/>
        <w:t xml:space="preserve">Валовой сбор зерновых культур R 1985 г. составил 98,6 млн.т. Урожайность картофеля в 1985 г. составила 96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с га. Валовой сбор сахарной свеклы в 1985 г.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составил 31,5 млн. т. Урожайность зерновых культур в 1985 г. составила 14,5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с га. Валовой сбор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картофеля в 1990 г. составил 30,9 млн. т. Урожайность зерновых культур в 1990 г. составила 18,5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с г.</w:t>
      </w:r>
    </w:p>
    <w:p w:rsidR="00264C31" w:rsidRPr="00264C31" w:rsidRDefault="00264C31" w:rsidP="00264C31">
      <w:pPr>
        <w:rPr>
          <w:rFonts w:ascii="Times New Roman" w:hAnsi="Times New Roman" w:cs="Times New Roman"/>
          <w:b/>
          <w:sz w:val="20"/>
          <w:szCs w:val="20"/>
        </w:rPr>
      </w:pPr>
      <w:r w:rsidRPr="00264C31">
        <w:rPr>
          <w:rFonts w:ascii="Times New Roman" w:hAnsi="Times New Roman" w:cs="Times New Roman"/>
          <w:b/>
          <w:i/>
          <w:sz w:val="20"/>
          <w:szCs w:val="20"/>
        </w:rPr>
        <w:t>Приложение № 9.</w:t>
      </w:r>
      <w:r w:rsidRPr="00264C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4CE9" w:rsidRPr="00264C31" w:rsidRDefault="00F44CE9" w:rsidP="00FA32E2">
      <w:pPr>
        <w:rPr>
          <w:rFonts w:ascii="Times New Roman" w:hAnsi="Times New Roman" w:cs="Times New Roman"/>
          <w:i/>
          <w:sz w:val="20"/>
          <w:szCs w:val="20"/>
        </w:rPr>
      </w:pPr>
      <w:r w:rsidRPr="00264C31">
        <w:rPr>
          <w:rFonts w:ascii="Times New Roman" w:hAnsi="Times New Roman" w:cs="Times New Roman"/>
          <w:i/>
          <w:sz w:val="20"/>
          <w:szCs w:val="20"/>
        </w:rPr>
        <w:t>Крупнейшие промышленные корпорации</w:t>
      </w:r>
      <w:r w:rsidR="00264C31" w:rsidRPr="00264C31">
        <w:rPr>
          <w:rFonts w:ascii="Times New Roman" w:hAnsi="Times New Roman" w:cs="Times New Roman"/>
          <w:i/>
          <w:sz w:val="20"/>
          <w:szCs w:val="20"/>
        </w:rPr>
        <w:t>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>Компания «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Дженерал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Моторс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>» находится в США. Она занимается производством автомобилей.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Компания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90-х гг. имела оборот в 102 млрд. долларов и 811000 работников.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>Компания «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Тойота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мотор» находится в Японии. Она занимается производством автомобилей.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Компания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90-х гг. имела оборот в 42 млрд. долларов и 84207 работников.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>Компания «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Ройял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Датч-Шелл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» занимается производством нефтепродуктов. Компания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90-х гг. имела оборот в 78 млрд. долларов и 133000 работников.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>Компания «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Тексако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>» находится в США. Она занимается производством нефтепродуктов.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Компания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90-х гг. имела 54481 работника.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>Компания «Эксон» находится в США. Она занимается производством нефтепродуктов. Компания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90-х гг. имела оборот в 76 млрд. долларов и 146000 работников.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>Компания «Форд Мотор» находится в США. Она занимается производством автомобилей.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Компания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90-х гг. имела оборот в 72 млрд. долларов и 369300 работников.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>Компания «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Интернешионал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 xml:space="preserve"> бизнес </w:t>
      </w:r>
      <w:proofErr w:type="spellStart"/>
      <w:r w:rsidRPr="00264C31">
        <w:rPr>
          <w:rFonts w:ascii="Times New Roman" w:hAnsi="Times New Roman" w:cs="Times New Roman"/>
          <w:sz w:val="20"/>
          <w:szCs w:val="20"/>
        </w:rPr>
        <w:t>мэшинс</w:t>
      </w:r>
      <w:proofErr w:type="spellEnd"/>
      <w:r w:rsidRPr="00264C31">
        <w:rPr>
          <w:rFonts w:ascii="Times New Roman" w:hAnsi="Times New Roman" w:cs="Times New Roman"/>
          <w:sz w:val="20"/>
          <w:szCs w:val="20"/>
        </w:rPr>
        <w:t>» находится в США. Она занимается производством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вычислительной техники. Компания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90-х гг. имела оборот в 54 млрд. долларов и 403508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работников.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>Компания «Мобил» находится в США. Она занимается производством нефтепродуктов. Компания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90-х гг. имела оборот в 52 млрд. долларов.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>Компания «Бритиш петролеум» находится в Великобритании. Она занимается производством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нефтепродуктов. Компания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90-х гг. имела оборот в 45 млрд. долларов и 126020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работников.</w:t>
      </w:r>
    </w:p>
    <w:p w:rsidR="00F44CE9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r w:rsidRPr="00264C31">
        <w:rPr>
          <w:rFonts w:ascii="Times New Roman" w:hAnsi="Times New Roman" w:cs="Times New Roman"/>
          <w:sz w:val="20"/>
          <w:szCs w:val="20"/>
        </w:rPr>
        <w:t xml:space="preserve">Компания «ИРИ» находится в Италии. Она занимается производством металлов. Компания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начале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 90-х гг. имела оборот в 41 млрд. долларов и 422000 работников.</w:t>
      </w:r>
    </w:p>
    <w:p w:rsidR="00264C31" w:rsidRPr="00264C31" w:rsidRDefault="00264C31" w:rsidP="00264C31">
      <w:pPr>
        <w:rPr>
          <w:rFonts w:ascii="Times New Roman" w:hAnsi="Times New Roman" w:cs="Times New Roman"/>
          <w:b/>
          <w:sz w:val="20"/>
          <w:szCs w:val="20"/>
        </w:rPr>
      </w:pPr>
      <w:r w:rsidRPr="00264C31">
        <w:rPr>
          <w:rFonts w:ascii="Times New Roman" w:hAnsi="Times New Roman" w:cs="Times New Roman"/>
          <w:b/>
          <w:i/>
          <w:sz w:val="20"/>
          <w:szCs w:val="20"/>
        </w:rPr>
        <w:t>Приложение № 10.</w:t>
      </w:r>
      <w:r w:rsidRPr="00264C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4CE9" w:rsidRPr="00264C31" w:rsidRDefault="00F44CE9" w:rsidP="00FA32E2">
      <w:pPr>
        <w:rPr>
          <w:rFonts w:ascii="Times New Roman" w:hAnsi="Times New Roman" w:cs="Times New Roman"/>
          <w:i/>
          <w:sz w:val="20"/>
          <w:szCs w:val="20"/>
        </w:rPr>
      </w:pPr>
      <w:r w:rsidRPr="00264C31">
        <w:rPr>
          <w:rFonts w:ascii="Times New Roman" w:hAnsi="Times New Roman" w:cs="Times New Roman"/>
          <w:i/>
          <w:sz w:val="20"/>
          <w:szCs w:val="20"/>
        </w:rPr>
        <w:t>Товарооборот России с некоторыми странами</w:t>
      </w:r>
      <w:r w:rsidR="00264C31" w:rsidRPr="00264C31">
        <w:rPr>
          <w:rFonts w:ascii="Times New Roman" w:hAnsi="Times New Roman" w:cs="Times New Roman"/>
          <w:i/>
          <w:sz w:val="20"/>
          <w:szCs w:val="20"/>
        </w:rPr>
        <w:t>.</w:t>
      </w:r>
    </w:p>
    <w:p w:rsidR="00247210" w:rsidRPr="00264C31" w:rsidRDefault="00F44CE9" w:rsidP="00264C3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1990 г. импорт из ФРГ составил 4976,4 млн. руб. В 1989 г. экспорт в Японию составил 1184,2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млн. руб. В 1989 г. экспорт в Италию составил 1691,2 млн. руб. В 1989 г. импорт из Франции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 xml:space="preserve">составил 1189,9 млн. руб. В 1990 г. импорт из Австрии составил 1004,5 млн. руб. В 1990 г. </w:t>
      </w:r>
      <w:r w:rsidR="00264C31" w:rsidRPr="00264C31">
        <w:rPr>
          <w:rFonts w:ascii="Times New Roman" w:hAnsi="Times New Roman" w:cs="Times New Roman"/>
          <w:sz w:val="20"/>
          <w:szCs w:val="20"/>
        </w:rPr>
        <w:t>И</w:t>
      </w:r>
      <w:r w:rsidRPr="00264C31">
        <w:rPr>
          <w:rFonts w:ascii="Times New Roman" w:hAnsi="Times New Roman" w:cs="Times New Roman"/>
          <w:sz w:val="20"/>
          <w:szCs w:val="20"/>
        </w:rPr>
        <w:t>мпорт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из Японии составил 2138,0 млн. руб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1989 г. экспорт в Великобританию составил 1794,1 млн.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руб. В 1989 г. импорт из ФРГ составил 3231,3 млн. руб. В 1989 г. экспорт в Австрию составил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454,9 млн. руб. В 1990 г. экспорт в Финляндию составил 1758,8 млн. руб. В 1989 г. экспорт в США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составил 331,5 млн. руб. В 1989 г. импорт из Великобритании составил 623,1 млн. руб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1990 г.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экспорт в Италию составил 1920,1 млн. руб. В 1989 г. импорт из Японии составил 1950,9 млн. руб.</w:t>
      </w:r>
      <w:r w:rsidR="00264C31" w:rsidRPr="00264C31">
        <w:rPr>
          <w:rFonts w:ascii="Times New Roman" w:hAnsi="Times New Roman" w:cs="Times New Roman"/>
          <w:sz w:val="20"/>
          <w:szCs w:val="20"/>
        </w:rPr>
        <w:t xml:space="preserve"> </w:t>
      </w:r>
      <w:r w:rsidRPr="00264C31">
        <w:rPr>
          <w:rFonts w:ascii="Times New Roman" w:hAnsi="Times New Roman" w:cs="Times New Roman"/>
          <w:sz w:val="20"/>
          <w:szCs w:val="20"/>
        </w:rPr>
        <w:t>В 1990 г. импорт из США составил 2865,2 млн. руб. В 1990 г. экспорт в Великобританию составил 2208,7 млн. руб. В 1989 г. экспорт во Францию составил 1578,0 млн. руб. В 1990 г. импорт из Великобритании составил 1009,1 млн. руб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1989 г. импорт из Австрии составил 711,7 млн. руб. В 1989 г. импорт из Италии составил 1343,1 млн. руб. В 1990 г. экспорт в ФРГ составил 2478,3 млн. руб. В 1989 г. импорт из США составил 1772,6 млн. руб. В 1990 г. импорт из Италии составил 1606,3 млн. руб. В 1990 г. экспорт в США составил 527,7 млн. руб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64C31">
        <w:rPr>
          <w:rFonts w:ascii="Times New Roman" w:hAnsi="Times New Roman" w:cs="Times New Roman"/>
          <w:sz w:val="20"/>
          <w:szCs w:val="20"/>
        </w:rPr>
        <w:t>В 1989 г. импорт из Финляндии составил 2188,3 млн. руб. В 1990 г. импорт из Франции составил 1218,4 млн. руб. В 1990 г. экспорт в Японию составил 1343,0 млн. руб. В 1989 г. экспорт в Финляндию составил 1528,7 млн. руб. В 1990 г. экспорт в Австрию составил 429,6 млн. руб. В 1989 г. экспорт в ФРГ составил 2397,2 млн. руб</w:t>
      </w:r>
      <w:proofErr w:type="gramEnd"/>
      <w:r w:rsidRPr="00264C31">
        <w:rPr>
          <w:rFonts w:ascii="Times New Roman" w:hAnsi="Times New Roman" w:cs="Times New Roman"/>
          <w:sz w:val="20"/>
          <w:szCs w:val="20"/>
        </w:rPr>
        <w:t>. В 1990 г. импорт из Финляндии составил 2126,8 млн. руб. В 1990 г. экспорт во Францию составил 1348,6 млн. руб.</w:t>
      </w:r>
    </w:p>
    <w:sectPr w:rsidR="00247210" w:rsidRPr="00264C31" w:rsidSect="00494524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B1A"/>
    <w:multiLevelType w:val="hybridMultilevel"/>
    <w:tmpl w:val="A39A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E8A"/>
    <w:multiLevelType w:val="hybridMultilevel"/>
    <w:tmpl w:val="8E2A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2AEE"/>
    <w:multiLevelType w:val="hybridMultilevel"/>
    <w:tmpl w:val="8E2A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FE"/>
    <w:multiLevelType w:val="multilevel"/>
    <w:tmpl w:val="BA84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524"/>
    <w:rsid w:val="00247210"/>
    <w:rsid w:val="00264C31"/>
    <w:rsid w:val="002735E0"/>
    <w:rsid w:val="004207A2"/>
    <w:rsid w:val="00494524"/>
    <w:rsid w:val="00632189"/>
    <w:rsid w:val="00743DF1"/>
    <w:rsid w:val="007F56BF"/>
    <w:rsid w:val="00BF4D16"/>
    <w:rsid w:val="00ED61F3"/>
    <w:rsid w:val="00EE6B3D"/>
    <w:rsid w:val="00F44CE9"/>
    <w:rsid w:val="00FA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61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218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1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2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School21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2010-10-08T07:51:00Z</dcterms:created>
  <dcterms:modified xsi:type="dcterms:W3CDTF">2010-10-11T04:01:00Z</dcterms:modified>
</cp:coreProperties>
</file>